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7C" w:rsidRPr="00DF027C" w:rsidRDefault="00DF027C" w:rsidP="00DF027C">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DF027C">
        <w:rPr>
          <w:rFonts w:ascii="Arial" w:eastAsia="Times New Roman" w:hAnsi="Arial" w:cs="Arial"/>
          <w:b/>
          <w:bCs/>
          <w:color w:val="102461"/>
          <w:kern w:val="36"/>
          <w:sz w:val="21"/>
          <w:szCs w:val="21"/>
          <w:lang w:eastAsia="tr-TR"/>
        </w:rPr>
        <w:t>SERMAYE ARTIRIMI TESCİLİNDE GEREKLİ EVRAKLAR</w:t>
      </w:r>
    </w:p>
    <w:p w:rsidR="007D37C0" w:rsidRDefault="007D37C0" w:rsidP="00DF027C">
      <w:pPr>
        <w:shd w:val="clear" w:color="auto" w:fill="FFFFFF"/>
        <w:spacing w:after="150" w:line="288" w:lineRule="atLeast"/>
        <w:rPr>
          <w:rFonts w:ascii="Tahoma" w:eastAsia="Times New Roman" w:hAnsi="Tahoma" w:cs="Tahoma"/>
          <w:color w:val="8294BF"/>
          <w:sz w:val="15"/>
          <w:szCs w:val="15"/>
          <w:lang w:eastAsia="tr-TR"/>
        </w:rPr>
      </w:pPr>
    </w:p>
    <w:p w:rsidR="00DF027C" w:rsidRPr="00DF027C" w:rsidRDefault="00DF027C" w:rsidP="00DF027C">
      <w:pPr>
        <w:shd w:val="clear" w:color="auto" w:fill="FFFFFF"/>
        <w:spacing w:after="150" w:line="288" w:lineRule="atLeast"/>
        <w:rPr>
          <w:rFonts w:ascii="Verdana" w:eastAsia="Times New Roman" w:hAnsi="Verdana" w:cs="Times New Roman"/>
          <w:color w:val="000000"/>
          <w:sz w:val="18"/>
          <w:szCs w:val="18"/>
          <w:lang w:eastAsia="tr-TR"/>
        </w:rPr>
      </w:pPr>
      <w:r w:rsidRPr="00DF027C">
        <w:rPr>
          <w:rFonts w:ascii="Verdana" w:eastAsia="Times New Roman" w:hAnsi="Verdana" w:cs="Times New Roman"/>
          <w:color w:val="000000"/>
          <w:sz w:val="18"/>
          <w:szCs w:val="18"/>
          <w:shd w:val="clear" w:color="auto" w:fill="FF0000"/>
          <w:lang w:eastAsia="tr-TR"/>
        </w:rPr>
        <w:t>ANONİM ŞİRKET VE LİMİTED ŞİRKET SERMAYE ARTIRIMLARINDA ÖDENEN REKABET KURUMU PAYI 01.01.2018 TARİHİ İTİBARİYLE ODAMIZ VEZNELERİNDEN TAHSİL EDİLECEKTİR.</w:t>
      </w:r>
    </w:p>
    <w:p w:rsidR="00DF027C" w:rsidRPr="00DF027C" w:rsidRDefault="00DF027C" w:rsidP="00DF027C">
      <w:pPr>
        <w:shd w:val="clear" w:color="auto" w:fill="FFFFFF"/>
        <w:spacing w:after="150" w:line="288" w:lineRule="atLeast"/>
        <w:rPr>
          <w:rFonts w:ascii="Verdana" w:eastAsia="Times New Roman" w:hAnsi="Verdana" w:cs="Times New Roman"/>
          <w:color w:val="000000"/>
          <w:sz w:val="18"/>
          <w:szCs w:val="18"/>
          <w:lang w:eastAsia="tr-TR"/>
        </w:rPr>
      </w:pPr>
      <w:r w:rsidRPr="00DF027C">
        <w:rPr>
          <w:rFonts w:ascii="Verdana" w:eastAsia="Times New Roman" w:hAnsi="Verdana" w:cs="Times New Roman"/>
          <w:color w:val="000000"/>
          <w:sz w:val="18"/>
          <w:szCs w:val="18"/>
          <w:shd w:val="clear" w:color="auto" w:fill="FF0000"/>
          <w:lang w:eastAsia="tr-TR"/>
        </w:rPr>
        <w:t>BU TARİH İTİBARİYLE BANKAYA YATIRILAN ÖDEMELER KABUL EDİLMEYECEKTİR.</w:t>
      </w:r>
    </w:p>
    <w:p w:rsidR="00DF027C" w:rsidRPr="00DF027C" w:rsidRDefault="00DF027C" w:rsidP="00DF027C">
      <w:pPr>
        <w:shd w:val="clear" w:color="auto" w:fill="FFFFFF"/>
        <w:spacing w:after="150" w:line="288" w:lineRule="atLeast"/>
        <w:jc w:val="both"/>
        <w:rPr>
          <w:rFonts w:ascii="Verdana" w:eastAsia="Times New Roman" w:hAnsi="Verdana" w:cs="Times New Roman"/>
          <w:color w:val="000000"/>
          <w:sz w:val="18"/>
          <w:szCs w:val="18"/>
          <w:lang w:eastAsia="tr-TR"/>
        </w:rPr>
      </w:pPr>
      <w:r w:rsidRPr="00DF027C">
        <w:rPr>
          <w:rFonts w:ascii="Verdana" w:eastAsia="Times New Roman" w:hAnsi="Verdana" w:cs="Times New Roman"/>
          <w:color w:val="000000"/>
          <w:sz w:val="18"/>
          <w:szCs w:val="18"/>
          <w:lang w:eastAsia="tr-TR"/>
        </w:rPr>
        <w:t> </w:t>
      </w:r>
    </w:p>
    <w:p w:rsidR="00DF027C" w:rsidRPr="00DF027C" w:rsidRDefault="00DF027C" w:rsidP="00DF027C">
      <w:pPr>
        <w:numPr>
          <w:ilvl w:val="0"/>
          <w:numId w:val="4"/>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DF027C">
        <w:rPr>
          <w:rFonts w:ascii="Arial" w:eastAsia="Times New Roman" w:hAnsi="Arial" w:cs="Arial"/>
          <w:color w:val="000000"/>
          <w:sz w:val="24"/>
          <w:szCs w:val="24"/>
          <w:lang w:eastAsia="tr-TR"/>
        </w:rPr>
        <w:t>Ticaret Sicili Müdürlüğü'ne hitaben (Yetkili tarafından imzalı) </w:t>
      </w:r>
      <w:r w:rsidRPr="00DF027C">
        <w:rPr>
          <w:rFonts w:ascii="Arial" w:eastAsia="Times New Roman" w:hAnsi="Arial" w:cs="Arial"/>
          <w:color w:val="0000FF"/>
          <w:sz w:val="24"/>
          <w:szCs w:val="24"/>
          <w:lang w:eastAsia="tr-TR"/>
        </w:rPr>
        <w:t>Dilekçe</w:t>
      </w:r>
    </w:p>
    <w:p w:rsidR="00DF027C" w:rsidRPr="00DF027C" w:rsidRDefault="00DF027C" w:rsidP="00DF027C">
      <w:pPr>
        <w:numPr>
          <w:ilvl w:val="0"/>
          <w:numId w:val="4"/>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DF027C">
        <w:rPr>
          <w:rFonts w:ascii="Arial" w:eastAsia="Times New Roman" w:hAnsi="Arial" w:cs="Arial"/>
          <w:color w:val="000000"/>
          <w:sz w:val="24"/>
          <w:szCs w:val="24"/>
          <w:lang w:eastAsia="tr-TR"/>
        </w:rPr>
        <w:t>Ortaklar tarafından imzalanmış </w:t>
      </w:r>
      <w:r w:rsidRPr="00DF027C">
        <w:rPr>
          <w:rFonts w:ascii="Arial" w:eastAsia="Times New Roman" w:hAnsi="Arial" w:cs="Arial"/>
          <w:color w:val="0000FF"/>
          <w:sz w:val="24"/>
          <w:szCs w:val="24"/>
          <w:lang w:eastAsia="tr-TR"/>
        </w:rPr>
        <w:t>tadil tasarısı</w:t>
      </w:r>
      <w:r w:rsidRPr="00DF027C">
        <w:rPr>
          <w:rFonts w:ascii="Arial" w:eastAsia="Times New Roman" w:hAnsi="Arial" w:cs="Arial"/>
          <w:color w:val="000000"/>
          <w:sz w:val="24"/>
          <w:szCs w:val="24"/>
          <w:lang w:eastAsia="tr-TR"/>
        </w:rPr>
        <w:t> 2 adet</w:t>
      </w:r>
    </w:p>
    <w:p w:rsidR="00DF027C" w:rsidRPr="00DF027C" w:rsidRDefault="00DF027C" w:rsidP="00DF027C">
      <w:pPr>
        <w:numPr>
          <w:ilvl w:val="0"/>
          <w:numId w:val="4"/>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DF027C">
        <w:rPr>
          <w:rFonts w:ascii="Arial" w:eastAsia="Times New Roman" w:hAnsi="Arial" w:cs="Arial"/>
          <w:color w:val="000000"/>
          <w:sz w:val="24"/>
          <w:szCs w:val="24"/>
          <w:lang w:eastAsia="tr-TR"/>
        </w:rPr>
        <w:t>Sermaye artırımı ile ilgili </w:t>
      </w:r>
      <w:r w:rsidRPr="00DF027C">
        <w:rPr>
          <w:rFonts w:ascii="Arial" w:eastAsia="Times New Roman" w:hAnsi="Arial" w:cs="Arial"/>
          <w:color w:val="0000FF"/>
          <w:sz w:val="24"/>
          <w:szCs w:val="24"/>
          <w:lang w:eastAsia="tr-TR"/>
        </w:rPr>
        <w:t>tadil kararı</w:t>
      </w:r>
      <w:r w:rsidR="007D37C0">
        <w:rPr>
          <w:rFonts w:ascii="Arial" w:eastAsia="Times New Roman" w:hAnsi="Arial" w:cs="Arial"/>
          <w:color w:val="000000"/>
          <w:sz w:val="24"/>
          <w:szCs w:val="24"/>
          <w:lang w:eastAsia="tr-TR"/>
        </w:rPr>
        <w:t> noter onaylı 1</w:t>
      </w:r>
      <w:r w:rsidRPr="00DF027C">
        <w:rPr>
          <w:rFonts w:ascii="Arial" w:eastAsia="Times New Roman" w:hAnsi="Arial" w:cs="Arial"/>
          <w:color w:val="000000"/>
          <w:sz w:val="24"/>
          <w:szCs w:val="24"/>
          <w:lang w:eastAsia="tr-TR"/>
        </w:rPr>
        <w:t xml:space="preserve"> adet</w:t>
      </w:r>
    </w:p>
    <w:p w:rsidR="00DF027C" w:rsidRPr="00DF027C" w:rsidRDefault="00DF027C" w:rsidP="00DF027C">
      <w:pPr>
        <w:numPr>
          <w:ilvl w:val="0"/>
          <w:numId w:val="4"/>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DF027C">
        <w:rPr>
          <w:rFonts w:ascii="Arial" w:eastAsia="Times New Roman" w:hAnsi="Arial" w:cs="Arial"/>
          <w:color w:val="000000"/>
          <w:sz w:val="24"/>
          <w:szCs w:val="24"/>
          <w:lang w:eastAsia="tr-TR"/>
        </w:rPr>
        <w:t xml:space="preserve">Sermaye artırımı ile ortak alınıyor ise; yeni ortaklar tarafından alınmış </w:t>
      </w:r>
      <w:proofErr w:type="spellStart"/>
      <w:r w:rsidRPr="00DF027C">
        <w:rPr>
          <w:rFonts w:ascii="Arial" w:eastAsia="Times New Roman" w:hAnsi="Arial" w:cs="Arial"/>
          <w:color w:val="000000"/>
          <w:sz w:val="24"/>
          <w:szCs w:val="24"/>
          <w:lang w:eastAsia="tr-TR"/>
        </w:rPr>
        <w:t>anasözlemenin</w:t>
      </w:r>
      <w:proofErr w:type="spellEnd"/>
      <w:r w:rsidRPr="00DF027C">
        <w:rPr>
          <w:rFonts w:ascii="Arial" w:eastAsia="Times New Roman" w:hAnsi="Arial" w:cs="Arial"/>
          <w:color w:val="000000"/>
          <w:sz w:val="24"/>
          <w:szCs w:val="24"/>
          <w:lang w:eastAsia="tr-TR"/>
        </w:rPr>
        <w:t xml:space="preserve"> 1. madde eski yeni şeklini gösterir ortaklar kurulu kararı noter onaylı </w:t>
      </w:r>
      <w:r w:rsidR="007D37C0">
        <w:rPr>
          <w:rFonts w:ascii="Arial" w:eastAsia="Times New Roman" w:hAnsi="Arial" w:cs="Arial"/>
          <w:color w:val="000000"/>
          <w:sz w:val="24"/>
          <w:szCs w:val="24"/>
          <w:lang w:eastAsia="tr-TR"/>
        </w:rPr>
        <w:t>1</w:t>
      </w:r>
      <w:r w:rsidRPr="00DF027C">
        <w:rPr>
          <w:rFonts w:ascii="Arial" w:eastAsia="Times New Roman" w:hAnsi="Arial" w:cs="Arial"/>
          <w:color w:val="000000"/>
          <w:sz w:val="24"/>
          <w:szCs w:val="24"/>
          <w:lang w:eastAsia="tr-TR"/>
        </w:rPr>
        <w:t xml:space="preserve"> adet</w:t>
      </w:r>
    </w:p>
    <w:p w:rsidR="00DF027C" w:rsidRPr="00DF027C" w:rsidRDefault="00DF027C" w:rsidP="00DF027C">
      <w:pPr>
        <w:numPr>
          <w:ilvl w:val="0"/>
          <w:numId w:val="4"/>
        </w:numPr>
        <w:shd w:val="clear" w:color="auto" w:fill="FFFFFF"/>
        <w:spacing w:after="150" w:line="288" w:lineRule="atLeast"/>
        <w:ind w:left="0"/>
        <w:jc w:val="both"/>
        <w:rPr>
          <w:rFonts w:ascii="Verdana" w:eastAsia="Times New Roman" w:hAnsi="Verdana" w:cs="Times New Roman"/>
          <w:color w:val="000000"/>
          <w:sz w:val="18"/>
          <w:szCs w:val="18"/>
          <w:lang w:eastAsia="tr-TR"/>
        </w:rPr>
      </w:pPr>
      <w:proofErr w:type="gramStart"/>
      <w:r w:rsidRPr="00DF027C">
        <w:rPr>
          <w:rFonts w:ascii="Arial" w:eastAsia="Times New Roman" w:hAnsi="Arial" w:cs="Arial"/>
          <w:color w:val="000000"/>
          <w:sz w:val="24"/>
          <w:szCs w:val="24"/>
          <w:lang w:eastAsia="tr-TR"/>
        </w:rPr>
        <w:t xml:space="preserve">Sermaye artırımı sadece iç kaynaklardan veya sermaye taahhüdü yoluyla ya da sermaye taahhüdü ile birlikte iç kaynaklardan yapılıyorsa, sermayenin tamamının ödendiğine, karşılıksız kalıp kalmadığına ve şirket özvarlığının tespitine, iç kaynaklardan karşılanan tutarın şirket bünyesinde gerçekten var olduğuna ilişkin yeminli mali müşavir veya serbest muhasebeci mali müşavir raporu ya da denetime tabi şirketlerde denetçinin bu tespitlere ilişkin raporu, tespiti yapan YMM veya </w:t>
      </w:r>
      <w:proofErr w:type="spellStart"/>
      <w:r w:rsidRPr="00DF027C">
        <w:rPr>
          <w:rFonts w:ascii="Arial" w:eastAsia="Times New Roman" w:hAnsi="Arial" w:cs="Arial"/>
          <w:color w:val="000000"/>
          <w:sz w:val="24"/>
          <w:szCs w:val="24"/>
          <w:lang w:eastAsia="tr-TR"/>
        </w:rPr>
        <w:t>SMMM'nin</w:t>
      </w:r>
      <w:proofErr w:type="spellEnd"/>
      <w:r w:rsidRPr="00DF027C">
        <w:rPr>
          <w:rFonts w:ascii="Arial" w:eastAsia="Times New Roman" w:hAnsi="Arial" w:cs="Arial"/>
          <w:color w:val="000000"/>
          <w:sz w:val="24"/>
          <w:szCs w:val="24"/>
          <w:lang w:eastAsia="tr-TR"/>
        </w:rPr>
        <w:t xml:space="preserve"> Faaliyet Belgesi Fotokopisi.</w:t>
      </w:r>
      <w:proofErr w:type="gramEnd"/>
    </w:p>
    <w:p w:rsidR="00DF027C" w:rsidRPr="00DF027C" w:rsidRDefault="00DF027C" w:rsidP="00DF027C">
      <w:pPr>
        <w:numPr>
          <w:ilvl w:val="0"/>
          <w:numId w:val="4"/>
        </w:numPr>
        <w:shd w:val="clear" w:color="auto" w:fill="FFFFFF"/>
        <w:spacing w:after="150" w:line="288" w:lineRule="atLeast"/>
        <w:ind w:left="0"/>
        <w:jc w:val="both"/>
        <w:rPr>
          <w:rFonts w:ascii="Verdana" w:eastAsia="Times New Roman" w:hAnsi="Verdana" w:cs="Times New Roman"/>
          <w:color w:val="000000"/>
          <w:sz w:val="18"/>
          <w:szCs w:val="18"/>
          <w:lang w:eastAsia="tr-TR"/>
        </w:rPr>
      </w:pPr>
      <w:proofErr w:type="gramStart"/>
      <w:r w:rsidRPr="00DF027C">
        <w:rPr>
          <w:rFonts w:ascii="Arial" w:eastAsia="Times New Roman" w:hAnsi="Arial" w:cs="Arial"/>
          <w:color w:val="000000"/>
          <w:sz w:val="24"/>
          <w:szCs w:val="24"/>
          <w:lang w:eastAsia="tr-TR"/>
        </w:rPr>
        <w:t xml:space="preserve">Sermaye artırımının sadece iç kaynaklardan yapılması durumunda, şirket sermayesinin </w:t>
      </w:r>
      <w:proofErr w:type="spellStart"/>
      <w:r w:rsidRPr="00DF027C">
        <w:rPr>
          <w:rFonts w:ascii="Arial" w:eastAsia="Times New Roman" w:hAnsi="Arial" w:cs="Arial"/>
          <w:color w:val="000000"/>
          <w:sz w:val="24"/>
          <w:szCs w:val="24"/>
          <w:lang w:eastAsia="tr-TR"/>
        </w:rPr>
        <w:t>özvarlık</w:t>
      </w:r>
      <w:proofErr w:type="spellEnd"/>
      <w:r w:rsidRPr="00DF027C">
        <w:rPr>
          <w:rFonts w:ascii="Arial" w:eastAsia="Times New Roman" w:hAnsi="Arial" w:cs="Arial"/>
          <w:color w:val="000000"/>
          <w:sz w:val="24"/>
          <w:szCs w:val="24"/>
          <w:lang w:eastAsia="tr-TR"/>
        </w:rPr>
        <w:t xml:space="preserve"> içinde korunduğunu, iç kaynaklardan karşılanan tutarın şirket bünyesinde gerçekten var olduğunu doğrulayan müdürler kurulunun açık ve yazılı beyanı ile genel kurul tarafından onaylanmış yıllık bilanço, bilanço tarihinin üzerinden altı aydan fazla zaman geçmiş olması halinde ise müdürler kurulu tarafından onaylanmış ara bilançonun müdürlüğe verilmesi halinde, 6.bendte belirtilen rapor aranmaz.</w:t>
      </w:r>
      <w:proofErr w:type="gramEnd"/>
    </w:p>
    <w:p w:rsidR="00DF027C" w:rsidRPr="00DF027C" w:rsidRDefault="00DF027C" w:rsidP="00DF027C">
      <w:pPr>
        <w:numPr>
          <w:ilvl w:val="0"/>
          <w:numId w:val="4"/>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DF027C">
        <w:rPr>
          <w:rFonts w:ascii="Arial" w:eastAsia="Times New Roman" w:hAnsi="Arial" w:cs="Arial"/>
          <w:color w:val="000000"/>
          <w:sz w:val="24"/>
          <w:szCs w:val="24"/>
          <w:lang w:eastAsia="tr-TR"/>
        </w:rPr>
        <w:t>Ayni sermaye artırımı varsa devralınacak işletmeler ve ayni hakların değerinin tespitine ilişkin mahkemece atanan bilirkişi tarafından hazırlanmış değerleme raporları. Aslı ve Mahkeme tarafından atanan bilirkişiye ait atama kararı fotokopisi 1 adet. (Gayrimenkul-araç gibi ayni sermaye ilavesi olan durumlarda ilgili müdürlüğe bildirim yapılabilmesi için bildirim yapılacak müdürlük sayısı kadar ilave rapor fotokopisi düzenlenmelidir.)</w:t>
      </w:r>
    </w:p>
    <w:p w:rsidR="00DF027C" w:rsidRPr="00DF027C" w:rsidRDefault="00DF027C" w:rsidP="00DF027C">
      <w:pPr>
        <w:numPr>
          <w:ilvl w:val="0"/>
          <w:numId w:val="4"/>
        </w:numPr>
        <w:shd w:val="clear" w:color="auto" w:fill="FFFFFF"/>
        <w:spacing w:after="150" w:line="288" w:lineRule="atLeast"/>
        <w:ind w:left="0"/>
        <w:jc w:val="both"/>
        <w:rPr>
          <w:rFonts w:ascii="Verdana" w:eastAsia="Times New Roman" w:hAnsi="Verdana" w:cs="Times New Roman"/>
          <w:color w:val="000000"/>
          <w:sz w:val="18"/>
          <w:szCs w:val="18"/>
          <w:lang w:eastAsia="tr-TR"/>
        </w:rPr>
      </w:pPr>
      <w:r w:rsidRPr="00DF027C">
        <w:rPr>
          <w:rFonts w:ascii="Arial" w:eastAsia="Times New Roman" w:hAnsi="Arial" w:cs="Arial"/>
          <w:color w:val="000000"/>
          <w:sz w:val="24"/>
          <w:szCs w:val="24"/>
          <w:lang w:eastAsia="tr-TR"/>
        </w:rPr>
        <w:t>Konulacak ayni sermaye üzerinde herhangi bir sınırlamanın olmadığına dair ilgili sicilden alınacak yazı. 1 Adet</w:t>
      </w:r>
    </w:p>
    <w:p w:rsidR="00DF027C" w:rsidRPr="00DF027C" w:rsidRDefault="00DF027C" w:rsidP="00DF027C">
      <w:pPr>
        <w:numPr>
          <w:ilvl w:val="0"/>
          <w:numId w:val="4"/>
        </w:numPr>
        <w:shd w:val="clear" w:color="auto" w:fill="FFFFFF"/>
        <w:spacing w:after="150" w:line="288" w:lineRule="atLeast"/>
        <w:ind w:left="0"/>
        <w:jc w:val="both"/>
        <w:rPr>
          <w:rFonts w:ascii="Verdana" w:eastAsia="Times New Roman" w:hAnsi="Verdana" w:cs="Times New Roman"/>
          <w:color w:val="000000"/>
          <w:sz w:val="18"/>
          <w:szCs w:val="18"/>
          <w:lang w:eastAsia="tr-TR"/>
        </w:rPr>
      </w:pPr>
      <w:r w:rsidRPr="00DF027C">
        <w:rPr>
          <w:rFonts w:ascii="Arial" w:eastAsia="Times New Roman" w:hAnsi="Arial" w:cs="Arial"/>
          <w:color w:val="000000"/>
          <w:sz w:val="24"/>
          <w:szCs w:val="24"/>
          <w:lang w:eastAsia="tr-TR"/>
        </w:rPr>
        <w:t>Ayni sermaye olarak konulan taşınmaz, fikri mülkiyet hakları ve diğer değerlerin kayıtlı bulundukları sicillere şerh verildiğini gösteren belge. 1 Adet</w:t>
      </w:r>
    </w:p>
    <w:p w:rsidR="00A436A0" w:rsidRPr="00DF027C" w:rsidRDefault="00A436A0" w:rsidP="00DF027C">
      <w:bookmarkStart w:id="0" w:name="_GoBack"/>
      <w:bookmarkEnd w:id="0"/>
    </w:p>
    <w:sectPr w:rsidR="00A436A0" w:rsidRPr="00DF0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577A"/>
    <w:multiLevelType w:val="multilevel"/>
    <w:tmpl w:val="5D32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CD459A"/>
    <w:multiLevelType w:val="multilevel"/>
    <w:tmpl w:val="D148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2E064D"/>
    <w:multiLevelType w:val="multilevel"/>
    <w:tmpl w:val="CFB2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E4545A"/>
    <w:multiLevelType w:val="multilevel"/>
    <w:tmpl w:val="7152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32"/>
    <w:rsid w:val="005F6B00"/>
    <w:rsid w:val="007D37C0"/>
    <w:rsid w:val="00867C32"/>
    <w:rsid w:val="00A436A0"/>
    <w:rsid w:val="00C613F5"/>
    <w:rsid w:val="00DD4D8D"/>
    <w:rsid w:val="00DF0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67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C3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67C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7C32"/>
    <w:rPr>
      <w:b/>
      <w:bCs/>
    </w:rPr>
  </w:style>
  <w:style w:type="character" w:styleId="Kpr">
    <w:name w:val="Hyperlink"/>
    <w:basedOn w:val="VarsaylanParagrafYazTipi"/>
    <w:uiPriority w:val="99"/>
    <w:semiHidden/>
    <w:unhideWhenUsed/>
    <w:rsid w:val="00867C32"/>
    <w:rPr>
      <w:color w:val="0000FF"/>
      <w:u w:val="single"/>
    </w:rPr>
  </w:style>
  <w:style w:type="paragraph" w:styleId="BalonMetni">
    <w:name w:val="Balloon Text"/>
    <w:basedOn w:val="Normal"/>
    <w:link w:val="BalonMetniChar"/>
    <w:uiPriority w:val="99"/>
    <w:semiHidden/>
    <w:unhideWhenUsed/>
    <w:rsid w:val="00867C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67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C3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67C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7C32"/>
    <w:rPr>
      <w:b/>
      <w:bCs/>
    </w:rPr>
  </w:style>
  <w:style w:type="character" w:styleId="Kpr">
    <w:name w:val="Hyperlink"/>
    <w:basedOn w:val="VarsaylanParagrafYazTipi"/>
    <w:uiPriority w:val="99"/>
    <w:semiHidden/>
    <w:unhideWhenUsed/>
    <w:rsid w:val="00867C32"/>
    <w:rPr>
      <w:color w:val="0000FF"/>
      <w:u w:val="single"/>
    </w:rPr>
  </w:style>
  <w:style w:type="paragraph" w:styleId="BalonMetni">
    <w:name w:val="Balloon Text"/>
    <w:basedOn w:val="Normal"/>
    <w:link w:val="BalonMetniChar"/>
    <w:uiPriority w:val="99"/>
    <w:semiHidden/>
    <w:unhideWhenUsed/>
    <w:rsid w:val="00867C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45913">
      <w:bodyDiv w:val="1"/>
      <w:marLeft w:val="0"/>
      <w:marRight w:val="0"/>
      <w:marTop w:val="0"/>
      <w:marBottom w:val="0"/>
      <w:divBdr>
        <w:top w:val="none" w:sz="0" w:space="0" w:color="auto"/>
        <w:left w:val="none" w:sz="0" w:space="0" w:color="auto"/>
        <w:bottom w:val="none" w:sz="0" w:space="0" w:color="auto"/>
        <w:right w:val="none" w:sz="0" w:space="0" w:color="auto"/>
      </w:divBdr>
      <w:divsChild>
        <w:div w:id="597442997">
          <w:marLeft w:val="0"/>
          <w:marRight w:val="0"/>
          <w:marTop w:val="0"/>
          <w:marBottom w:val="135"/>
          <w:divBdr>
            <w:top w:val="none" w:sz="0" w:space="0" w:color="auto"/>
            <w:left w:val="none" w:sz="0" w:space="0" w:color="auto"/>
            <w:bottom w:val="none" w:sz="0" w:space="0" w:color="auto"/>
            <w:right w:val="none" w:sz="0" w:space="0" w:color="auto"/>
          </w:divBdr>
          <w:divsChild>
            <w:div w:id="1212226910">
              <w:marLeft w:val="0"/>
              <w:marRight w:val="0"/>
              <w:marTop w:val="0"/>
              <w:marBottom w:val="0"/>
              <w:divBdr>
                <w:top w:val="none" w:sz="0" w:space="0" w:color="auto"/>
                <w:left w:val="none" w:sz="0" w:space="0" w:color="auto"/>
                <w:bottom w:val="none" w:sz="0" w:space="0" w:color="auto"/>
                <w:right w:val="none" w:sz="0" w:space="0" w:color="auto"/>
              </w:divBdr>
            </w:div>
          </w:divsChild>
        </w:div>
        <w:div w:id="279461833">
          <w:marLeft w:val="0"/>
          <w:marRight w:val="0"/>
          <w:marTop w:val="0"/>
          <w:marBottom w:val="150"/>
          <w:divBdr>
            <w:top w:val="none" w:sz="0" w:space="0" w:color="auto"/>
            <w:left w:val="none" w:sz="0" w:space="0" w:color="auto"/>
            <w:bottom w:val="none" w:sz="0" w:space="0" w:color="auto"/>
            <w:right w:val="none" w:sz="0" w:space="0" w:color="auto"/>
          </w:divBdr>
        </w:div>
      </w:divsChild>
    </w:div>
    <w:div w:id="817650891">
      <w:bodyDiv w:val="1"/>
      <w:marLeft w:val="0"/>
      <w:marRight w:val="0"/>
      <w:marTop w:val="0"/>
      <w:marBottom w:val="0"/>
      <w:divBdr>
        <w:top w:val="none" w:sz="0" w:space="0" w:color="auto"/>
        <w:left w:val="none" w:sz="0" w:space="0" w:color="auto"/>
        <w:bottom w:val="none" w:sz="0" w:space="0" w:color="auto"/>
        <w:right w:val="none" w:sz="0" w:space="0" w:color="auto"/>
      </w:divBdr>
      <w:divsChild>
        <w:div w:id="1863399921">
          <w:marLeft w:val="0"/>
          <w:marRight w:val="0"/>
          <w:marTop w:val="0"/>
          <w:marBottom w:val="135"/>
          <w:divBdr>
            <w:top w:val="none" w:sz="0" w:space="0" w:color="auto"/>
            <w:left w:val="none" w:sz="0" w:space="0" w:color="auto"/>
            <w:bottom w:val="none" w:sz="0" w:space="0" w:color="auto"/>
            <w:right w:val="none" w:sz="0" w:space="0" w:color="auto"/>
          </w:divBdr>
          <w:divsChild>
            <w:div w:id="1034305700">
              <w:marLeft w:val="0"/>
              <w:marRight w:val="0"/>
              <w:marTop w:val="0"/>
              <w:marBottom w:val="0"/>
              <w:divBdr>
                <w:top w:val="none" w:sz="0" w:space="0" w:color="auto"/>
                <w:left w:val="none" w:sz="0" w:space="0" w:color="auto"/>
                <w:bottom w:val="none" w:sz="0" w:space="0" w:color="auto"/>
                <w:right w:val="none" w:sz="0" w:space="0" w:color="auto"/>
              </w:divBdr>
            </w:div>
          </w:divsChild>
        </w:div>
        <w:div w:id="961613319">
          <w:marLeft w:val="0"/>
          <w:marRight w:val="0"/>
          <w:marTop w:val="0"/>
          <w:marBottom w:val="150"/>
          <w:divBdr>
            <w:top w:val="none" w:sz="0" w:space="0" w:color="auto"/>
            <w:left w:val="none" w:sz="0" w:space="0" w:color="auto"/>
            <w:bottom w:val="none" w:sz="0" w:space="0" w:color="auto"/>
            <w:right w:val="none" w:sz="0" w:space="0" w:color="auto"/>
          </w:divBdr>
        </w:div>
      </w:divsChild>
    </w:div>
    <w:div w:id="1312638448">
      <w:bodyDiv w:val="1"/>
      <w:marLeft w:val="0"/>
      <w:marRight w:val="0"/>
      <w:marTop w:val="0"/>
      <w:marBottom w:val="0"/>
      <w:divBdr>
        <w:top w:val="none" w:sz="0" w:space="0" w:color="auto"/>
        <w:left w:val="none" w:sz="0" w:space="0" w:color="auto"/>
        <w:bottom w:val="none" w:sz="0" w:space="0" w:color="auto"/>
        <w:right w:val="none" w:sz="0" w:space="0" w:color="auto"/>
      </w:divBdr>
      <w:divsChild>
        <w:div w:id="1871070544">
          <w:marLeft w:val="0"/>
          <w:marRight w:val="0"/>
          <w:marTop w:val="0"/>
          <w:marBottom w:val="135"/>
          <w:divBdr>
            <w:top w:val="none" w:sz="0" w:space="0" w:color="auto"/>
            <w:left w:val="none" w:sz="0" w:space="0" w:color="auto"/>
            <w:bottom w:val="none" w:sz="0" w:space="0" w:color="auto"/>
            <w:right w:val="none" w:sz="0" w:space="0" w:color="auto"/>
          </w:divBdr>
          <w:divsChild>
            <w:div w:id="1713647005">
              <w:marLeft w:val="0"/>
              <w:marRight w:val="0"/>
              <w:marTop w:val="0"/>
              <w:marBottom w:val="0"/>
              <w:divBdr>
                <w:top w:val="none" w:sz="0" w:space="0" w:color="auto"/>
                <w:left w:val="none" w:sz="0" w:space="0" w:color="auto"/>
                <w:bottom w:val="none" w:sz="0" w:space="0" w:color="auto"/>
                <w:right w:val="none" w:sz="0" w:space="0" w:color="auto"/>
              </w:divBdr>
            </w:div>
          </w:divsChild>
        </w:div>
        <w:div w:id="1368683677">
          <w:marLeft w:val="0"/>
          <w:marRight w:val="0"/>
          <w:marTop w:val="0"/>
          <w:marBottom w:val="150"/>
          <w:divBdr>
            <w:top w:val="none" w:sz="0" w:space="0" w:color="auto"/>
            <w:left w:val="none" w:sz="0" w:space="0" w:color="auto"/>
            <w:bottom w:val="none" w:sz="0" w:space="0" w:color="auto"/>
            <w:right w:val="none" w:sz="0" w:space="0" w:color="auto"/>
          </w:divBdr>
        </w:div>
      </w:divsChild>
    </w:div>
    <w:div w:id="1723022932">
      <w:bodyDiv w:val="1"/>
      <w:marLeft w:val="0"/>
      <w:marRight w:val="0"/>
      <w:marTop w:val="0"/>
      <w:marBottom w:val="0"/>
      <w:divBdr>
        <w:top w:val="none" w:sz="0" w:space="0" w:color="auto"/>
        <w:left w:val="none" w:sz="0" w:space="0" w:color="auto"/>
        <w:bottom w:val="none" w:sz="0" w:space="0" w:color="auto"/>
        <w:right w:val="none" w:sz="0" w:space="0" w:color="auto"/>
      </w:divBdr>
      <w:divsChild>
        <w:div w:id="174153003">
          <w:marLeft w:val="0"/>
          <w:marRight w:val="0"/>
          <w:marTop w:val="0"/>
          <w:marBottom w:val="135"/>
          <w:divBdr>
            <w:top w:val="none" w:sz="0" w:space="0" w:color="auto"/>
            <w:left w:val="none" w:sz="0" w:space="0" w:color="auto"/>
            <w:bottom w:val="none" w:sz="0" w:space="0" w:color="auto"/>
            <w:right w:val="none" w:sz="0" w:space="0" w:color="auto"/>
          </w:divBdr>
          <w:divsChild>
            <w:div w:id="1009719591">
              <w:marLeft w:val="0"/>
              <w:marRight w:val="0"/>
              <w:marTop w:val="0"/>
              <w:marBottom w:val="0"/>
              <w:divBdr>
                <w:top w:val="none" w:sz="0" w:space="0" w:color="auto"/>
                <w:left w:val="none" w:sz="0" w:space="0" w:color="auto"/>
                <w:bottom w:val="none" w:sz="0" w:space="0" w:color="auto"/>
                <w:right w:val="none" w:sz="0" w:space="0" w:color="auto"/>
              </w:divBdr>
            </w:div>
          </w:divsChild>
        </w:div>
        <w:div w:id="1587303379">
          <w:marLeft w:val="0"/>
          <w:marRight w:val="0"/>
          <w:marTop w:val="0"/>
          <w:marBottom w:val="150"/>
          <w:divBdr>
            <w:top w:val="none" w:sz="0" w:space="0" w:color="auto"/>
            <w:left w:val="none" w:sz="0" w:space="0" w:color="auto"/>
            <w:bottom w:val="none" w:sz="0" w:space="0" w:color="auto"/>
            <w:right w:val="none" w:sz="0" w:space="0" w:color="auto"/>
          </w:divBdr>
        </w:div>
      </w:divsChild>
    </w:div>
    <w:div w:id="2095465796">
      <w:bodyDiv w:val="1"/>
      <w:marLeft w:val="0"/>
      <w:marRight w:val="0"/>
      <w:marTop w:val="0"/>
      <w:marBottom w:val="0"/>
      <w:divBdr>
        <w:top w:val="none" w:sz="0" w:space="0" w:color="auto"/>
        <w:left w:val="none" w:sz="0" w:space="0" w:color="auto"/>
        <w:bottom w:val="none" w:sz="0" w:space="0" w:color="auto"/>
        <w:right w:val="none" w:sz="0" w:space="0" w:color="auto"/>
      </w:divBdr>
      <w:divsChild>
        <w:div w:id="1727489831">
          <w:marLeft w:val="0"/>
          <w:marRight w:val="0"/>
          <w:marTop w:val="0"/>
          <w:marBottom w:val="135"/>
          <w:divBdr>
            <w:top w:val="none" w:sz="0" w:space="0" w:color="auto"/>
            <w:left w:val="none" w:sz="0" w:space="0" w:color="auto"/>
            <w:bottom w:val="none" w:sz="0" w:space="0" w:color="auto"/>
            <w:right w:val="none" w:sz="0" w:space="0" w:color="auto"/>
          </w:divBdr>
          <w:divsChild>
            <w:div w:id="697854916">
              <w:marLeft w:val="0"/>
              <w:marRight w:val="0"/>
              <w:marTop w:val="0"/>
              <w:marBottom w:val="0"/>
              <w:divBdr>
                <w:top w:val="none" w:sz="0" w:space="0" w:color="auto"/>
                <w:left w:val="none" w:sz="0" w:space="0" w:color="auto"/>
                <w:bottom w:val="none" w:sz="0" w:space="0" w:color="auto"/>
                <w:right w:val="none" w:sz="0" w:space="0" w:color="auto"/>
              </w:divBdr>
            </w:div>
          </w:divsChild>
        </w:div>
        <w:div w:id="45364155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2019-03-30T05:39:00Z</dcterms:created>
  <dcterms:modified xsi:type="dcterms:W3CDTF">2019-03-30T08:51:00Z</dcterms:modified>
</cp:coreProperties>
</file>